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0D658" w14:textId="45B41BFB" w:rsidR="009C1747" w:rsidRPr="009C1747" w:rsidRDefault="009C1747" w:rsidP="007A6AD7">
      <w:pPr>
        <w:ind w:left="567" w:right="741"/>
        <w:jc w:val="center"/>
        <w:rPr>
          <w:b/>
          <w:bCs/>
          <w:sz w:val="32"/>
          <w:szCs w:val="32"/>
        </w:rPr>
      </w:pPr>
      <w:r w:rsidRPr="009C1747">
        <w:rPr>
          <w:b/>
          <w:bCs/>
          <w:sz w:val="32"/>
          <w:szCs w:val="32"/>
        </w:rPr>
        <w:t>CAREERS EDUCATION, INFORMATION, ADVICE &amp; GUIDANCE PROGRAMME</w:t>
      </w:r>
    </w:p>
    <w:p w14:paraId="614BAFBC" w14:textId="0E7236C2" w:rsidR="007A6AD7" w:rsidRDefault="007A6AD7" w:rsidP="00E64F1C">
      <w:pPr>
        <w:ind w:left="567" w:right="741"/>
        <w:rPr>
          <w:b/>
          <w:bCs/>
        </w:rPr>
      </w:pPr>
    </w:p>
    <w:p w14:paraId="4EAB6261" w14:textId="779EDC1B" w:rsidR="004B30E8" w:rsidRDefault="00E64F1C" w:rsidP="00E64F1C">
      <w:pPr>
        <w:ind w:left="567" w:right="741"/>
        <w:rPr>
          <w:b/>
          <w:bCs/>
        </w:rPr>
      </w:pPr>
      <w:r>
        <w:rPr>
          <w:b/>
          <w:bCs/>
        </w:rPr>
        <w:t>Our Ethos</w:t>
      </w:r>
    </w:p>
    <w:p w14:paraId="0A354BC1" w14:textId="1540C026" w:rsidR="00E64F1C" w:rsidRDefault="00E64F1C" w:rsidP="00E64F1C">
      <w:pPr>
        <w:pStyle w:val="NormalWeb"/>
        <w:spacing w:before="0" w:beforeAutospacing="0" w:after="0" w:afterAutospacing="0"/>
        <w:ind w:left="567" w:right="741"/>
        <w:rPr>
          <w:rFonts w:ascii="Calibri" w:hAnsi="Calibri" w:cs="Calibri"/>
        </w:rPr>
      </w:pPr>
      <w:r>
        <w:rPr>
          <w:rFonts w:ascii="Calibri" w:hAnsi="Calibri" w:cs="Calibri"/>
        </w:rPr>
        <w:t xml:space="preserve">At St George Catholic College we believe that Careers Education, Information, Advice and Guidance has an important contribution to make to the education of all students in order to make an effective transition from school to adulthood and employment.  </w:t>
      </w:r>
      <w:r w:rsidRPr="00E64F1C">
        <w:rPr>
          <w:rFonts w:ascii="Calibri" w:hAnsi="Calibri" w:cs="Calibri"/>
        </w:rPr>
        <w:t>The school is committed to not just fulfilling its statutory requirements in this area but providing for students’ exceptional support and guidance throughout their time at St George</w:t>
      </w:r>
      <w:r>
        <w:rPr>
          <w:rFonts w:ascii="Calibri" w:hAnsi="Calibri" w:cs="Calibri"/>
        </w:rPr>
        <w:t xml:space="preserve"> Well thought- through decisions about learning and work informed by effective CEIAG can increase participation in learning and, in turn, raise attainment and support further progressio</w:t>
      </w:r>
      <w:r w:rsidR="00AD03F0">
        <w:rPr>
          <w:rFonts w:ascii="Calibri" w:hAnsi="Calibri" w:cs="Calibri"/>
        </w:rPr>
        <w:t>n.</w:t>
      </w:r>
    </w:p>
    <w:p w14:paraId="24EEE4D4" w14:textId="77777777" w:rsidR="00E64F1C" w:rsidRDefault="00E64F1C" w:rsidP="00E64F1C">
      <w:pPr>
        <w:pStyle w:val="NormalWeb"/>
        <w:spacing w:before="0" w:beforeAutospacing="0" w:after="0" w:afterAutospacing="0"/>
        <w:ind w:left="567" w:right="741"/>
      </w:pPr>
    </w:p>
    <w:p w14:paraId="39A7D5D3" w14:textId="77777777" w:rsidR="00E64F1C" w:rsidRDefault="00E64F1C" w:rsidP="00E64F1C">
      <w:pPr>
        <w:pStyle w:val="NormalWeb"/>
        <w:spacing w:before="0" w:beforeAutospacing="0" w:after="0" w:afterAutospacing="0"/>
        <w:ind w:left="567" w:right="741"/>
      </w:pPr>
      <w:r>
        <w:rPr>
          <w:rFonts w:ascii="Calibri" w:hAnsi="Calibri" w:cs="Calibri"/>
          <w:i/>
          <w:iCs/>
        </w:rPr>
        <w:t xml:space="preserve">‘At St George we ASPIRE to become all that God has created us to be’. </w:t>
      </w:r>
    </w:p>
    <w:p w14:paraId="0CADA246" w14:textId="77777777" w:rsidR="004E798A" w:rsidRDefault="004E798A" w:rsidP="004E798A">
      <w:pPr>
        <w:ind w:left="567" w:right="741"/>
        <w:rPr>
          <w:b/>
          <w:bCs/>
        </w:rPr>
      </w:pPr>
    </w:p>
    <w:p w14:paraId="52504142" w14:textId="6C048B60" w:rsidR="004E798A" w:rsidRPr="00BE6F69" w:rsidRDefault="004E798A" w:rsidP="004E798A">
      <w:pPr>
        <w:ind w:left="567" w:right="741"/>
        <w:rPr>
          <w:b/>
          <w:bCs/>
        </w:rPr>
      </w:pPr>
      <w:r>
        <w:rPr>
          <w:b/>
          <w:bCs/>
        </w:rPr>
        <w:t xml:space="preserve">Student </w:t>
      </w:r>
      <w:r w:rsidRPr="00BE6F69">
        <w:rPr>
          <w:b/>
          <w:bCs/>
        </w:rPr>
        <w:t>Entitlement</w:t>
      </w:r>
    </w:p>
    <w:p w14:paraId="6BE45E09" w14:textId="17569E59" w:rsidR="004E798A" w:rsidRDefault="004E798A" w:rsidP="004E798A">
      <w:pPr>
        <w:pStyle w:val="ocular-col"/>
        <w:spacing w:before="0" w:beforeAutospacing="0" w:after="0" w:afterAutospacing="0"/>
        <w:ind w:left="567" w:right="741"/>
        <w:rPr>
          <w:rFonts w:asciiTheme="minorHAnsi" w:hAnsiTheme="minorHAnsi" w:cstheme="minorHAnsi"/>
          <w:color w:val="000A12"/>
        </w:rPr>
      </w:pPr>
      <w:r w:rsidRPr="00BE6F69">
        <w:rPr>
          <w:rFonts w:asciiTheme="minorHAnsi" w:hAnsiTheme="minorHAnsi" w:cstheme="minorHAnsi"/>
          <w:color w:val="000A12"/>
        </w:rPr>
        <w:t xml:space="preserve">All </w:t>
      </w:r>
      <w:r>
        <w:rPr>
          <w:rFonts w:asciiTheme="minorHAnsi" w:hAnsiTheme="minorHAnsi" w:cstheme="minorHAnsi"/>
          <w:color w:val="000A12"/>
        </w:rPr>
        <w:t>students</w:t>
      </w:r>
      <w:r w:rsidRPr="00BE6F69">
        <w:rPr>
          <w:rFonts w:asciiTheme="minorHAnsi" w:hAnsiTheme="minorHAnsi" w:cstheme="minorHAnsi"/>
          <w:color w:val="000A12"/>
        </w:rPr>
        <w:t xml:space="preserve"> are entitled to CIAG that meets professional standards of practice and is person centred, impartial and confidential</w:t>
      </w:r>
      <w:r>
        <w:rPr>
          <w:rFonts w:asciiTheme="minorHAnsi" w:hAnsiTheme="minorHAnsi" w:cstheme="minorHAnsi"/>
          <w:color w:val="000A12"/>
        </w:rPr>
        <w:t>,</w:t>
      </w:r>
      <w:r w:rsidRPr="00BE6F69">
        <w:rPr>
          <w:rFonts w:asciiTheme="minorHAnsi" w:hAnsiTheme="minorHAnsi" w:cstheme="minorHAnsi"/>
          <w:color w:val="000A12"/>
        </w:rPr>
        <w:t xml:space="preserve"> encourages positive self-esteem, individual responsibility for their own </w:t>
      </w:r>
      <w:r>
        <w:rPr>
          <w:rFonts w:asciiTheme="minorHAnsi" w:hAnsiTheme="minorHAnsi" w:cstheme="minorHAnsi"/>
          <w:color w:val="000A12"/>
        </w:rPr>
        <w:t>future pathways</w:t>
      </w:r>
      <w:r w:rsidRPr="00BE6F69">
        <w:rPr>
          <w:rFonts w:asciiTheme="minorHAnsi" w:hAnsiTheme="minorHAnsi" w:cstheme="minorHAnsi"/>
          <w:color w:val="000A12"/>
        </w:rPr>
        <w:t xml:space="preserve"> and an awareness that lifelong learning is the key to career development</w:t>
      </w:r>
      <w:r>
        <w:rPr>
          <w:rFonts w:asciiTheme="minorHAnsi" w:hAnsiTheme="minorHAnsi" w:cstheme="minorHAnsi"/>
          <w:color w:val="000A12"/>
        </w:rPr>
        <w:t>.  T</w:t>
      </w:r>
      <w:r w:rsidRPr="00BE6F69">
        <w:rPr>
          <w:rFonts w:asciiTheme="minorHAnsi" w:hAnsiTheme="minorHAnsi" w:cstheme="minorHAnsi"/>
          <w:color w:val="000A12"/>
        </w:rPr>
        <w:t>his is integrated into the pupils’ experience of the whole curriculum</w:t>
      </w:r>
      <w:r>
        <w:rPr>
          <w:rFonts w:asciiTheme="minorHAnsi" w:hAnsiTheme="minorHAnsi" w:cstheme="minorHAnsi"/>
          <w:color w:val="000A12"/>
        </w:rPr>
        <w:t xml:space="preserve">. </w:t>
      </w:r>
      <w:r w:rsidRPr="00BE6F69">
        <w:rPr>
          <w:rFonts w:asciiTheme="minorHAnsi" w:hAnsiTheme="minorHAnsi" w:cstheme="minorHAnsi"/>
          <w:color w:val="000A12"/>
        </w:rPr>
        <w:t xml:space="preserve"> </w:t>
      </w:r>
      <w:r>
        <w:rPr>
          <w:rFonts w:asciiTheme="minorHAnsi" w:hAnsiTheme="minorHAnsi" w:cstheme="minorHAnsi"/>
          <w:color w:val="000A12"/>
        </w:rPr>
        <w:t>E</w:t>
      </w:r>
      <w:r w:rsidRPr="00BE6F69">
        <w:rPr>
          <w:rFonts w:asciiTheme="minorHAnsi" w:hAnsiTheme="minorHAnsi" w:cstheme="minorHAnsi"/>
          <w:color w:val="000A12"/>
        </w:rPr>
        <w:t xml:space="preserve">very student has the opportunity to access information, advice and guidance that is suited to their personal needs and requirements. </w:t>
      </w:r>
    </w:p>
    <w:p w14:paraId="4F728551" w14:textId="77777777" w:rsidR="00E64F1C" w:rsidRDefault="00E64F1C" w:rsidP="00E64F1C">
      <w:pPr>
        <w:ind w:left="567" w:right="741"/>
        <w:rPr>
          <w:b/>
          <w:bCs/>
        </w:rPr>
      </w:pPr>
    </w:p>
    <w:p w14:paraId="043A43C3" w14:textId="1C267B3A" w:rsidR="00C52E8B" w:rsidRDefault="00E64F1C" w:rsidP="00C52E8B">
      <w:pPr>
        <w:ind w:left="567" w:right="741"/>
        <w:rPr>
          <w:b/>
          <w:bCs/>
        </w:rPr>
      </w:pPr>
      <w:r>
        <w:rPr>
          <w:b/>
          <w:bCs/>
        </w:rPr>
        <w:t xml:space="preserve">Our </w:t>
      </w:r>
      <w:r w:rsidR="00C52E8B">
        <w:rPr>
          <w:b/>
          <w:bCs/>
        </w:rPr>
        <w:t>Aim</w:t>
      </w:r>
      <w:r>
        <w:rPr>
          <w:b/>
          <w:bCs/>
        </w:rPr>
        <w:t>s</w:t>
      </w:r>
    </w:p>
    <w:p w14:paraId="3BFE1B41" w14:textId="4BBD8CEF" w:rsidR="00C837A1" w:rsidRPr="00C837A1" w:rsidRDefault="00C837A1" w:rsidP="00E64F1C">
      <w:pPr>
        <w:ind w:left="567" w:right="741"/>
      </w:pPr>
      <w:r w:rsidRPr="00C837A1">
        <w:t xml:space="preserve">To support </w:t>
      </w:r>
      <w:r>
        <w:t>our students</w:t>
      </w:r>
      <w:r w:rsidRPr="00C837A1">
        <w:t xml:space="preserve"> to acquire the self-development and career management skills they need to make well informed decisions in choosing positive career pathways which will enable them to achieve their full potential, give them fulfilment and satisfaction, improve their life opportunities and contribute to a productive and successful economy.</w:t>
      </w:r>
    </w:p>
    <w:p w14:paraId="47699245" w14:textId="1F9CB04E" w:rsidR="00C52E8B" w:rsidRDefault="00C52E8B" w:rsidP="00E64F1C">
      <w:pPr>
        <w:ind w:right="741"/>
        <w:rPr>
          <w:b/>
          <w:bCs/>
        </w:rPr>
      </w:pPr>
    </w:p>
    <w:p w14:paraId="59246951" w14:textId="15A115B4" w:rsidR="004E798A" w:rsidRDefault="004E798A" w:rsidP="004E798A">
      <w:pPr>
        <w:ind w:left="567" w:right="741"/>
        <w:rPr>
          <w:b/>
          <w:bCs/>
        </w:rPr>
      </w:pPr>
      <w:r>
        <w:rPr>
          <w:b/>
          <w:bCs/>
        </w:rPr>
        <w:t>Objectives</w:t>
      </w:r>
    </w:p>
    <w:p w14:paraId="0962E6A3" w14:textId="1129430F" w:rsidR="00E64F1C" w:rsidRPr="00E64F1C" w:rsidRDefault="00E64F1C" w:rsidP="00E64F1C">
      <w:pPr>
        <w:ind w:left="567" w:right="741"/>
        <w:rPr>
          <w:rFonts w:ascii="Times New Roman" w:eastAsia="Times New Roman" w:hAnsi="Times New Roman" w:cs="Times New Roman"/>
          <w:lang w:eastAsia="en-GB"/>
        </w:rPr>
      </w:pPr>
      <w:r>
        <w:rPr>
          <w:rFonts w:ascii="Calibri" w:eastAsia="Times New Roman" w:hAnsi="Calibri" w:cs="Calibri"/>
          <w:lang w:eastAsia="en-GB"/>
        </w:rPr>
        <w:t>To</w:t>
      </w:r>
      <w:r w:rsidRPr="00E64F1C">
        <w:rPr>
          <w:rFonts w:ascii="Calibri" w:eastAsia="Times New Roman" w:hAnsi="Calibri" w:cs="Calibri"/>
          <w:lang w:eastAsia="en-GB"/>
        </w:rPr>
        <w:t xml:space="preserve"> provide students with the opportunity to engage in a range of activities to prepare </w:t>
      </w:r>
      <w:r w:rsidR="004E798A">
        <w:rPr>
          <w:rFonts w:ascii="Calibri" w:eastAsia="Times New Roman" w:hAnsi="Calibri" w:cs="Calibri"/>
          <w:lang w:eastAsia="en-GB"/>
        </w:rPr>
        <w:t>them</w:t>
      </w:r>
      <w:r w:rsidRPr="00E64F1C">
        <w:rPr>
          <w:rFonts w:ascii="Calibri" w:eastAsia="Times New Roman" w:hAnsi="Calibri" w:cs="Calibri"/>
          <w:lang w:eastAsia="en-GB"/>
        </w:rPr>
        <w:t xml:space="preserve"> for the transition to the next stage of education or employment through: </w:t>
      </w:r>
    </w:p>
    <w:p w14:paraId="3236A95F" w14:textId="77777777" w:rsidR="00E64F1C" w:rsidRPr="00E64F1C" w:rsidRDefault="00E64F1C" w:rsidP="00E64F1C">
      <w:pPr>
        <w:numPr>
          <w:ilvl w:val="0"/>
          <w:numId w:val="4"/>
        </w:numPr>
        <w:tabs>
          <w:tab w:val="clear" w:pos="720"/>
        </w:tabs>
        <w:ind w:left="993" w:hanging="426"/>
        <w:rPr>
          <w:rFonts w:ascii="SymbolMT" w:eastAsia="Times New Roman" w:hAnsi="SymbolMT" w:cs="Times New Roman"/>
          <w:lang w:eastAsia="en-GB"/>
        </w:rPr>
      </w:pPr>
      <w:r w:rsidRPr="00E64F1C">
        <w:rPr>
          <w:rFonts w:ascii="Calibri" w:eastAsia="Times New Roman" w:hAnsi="Calibri" w:cs="Calibri"/>
          <w:lang w:eastAsia="en-GB"/>
        </w:rPr>
        <w:t xml:space="preserve">Contexts that help raise motivation and attainment </w:t>
      </w:r>
    </w:p>
    <w:p w14:paraId="760C7727" w14:textId="795C0B5E" w:rsidR="00E64F1C" w:rsidRPr="00E64F1C" w:rsidRDefault="00E64F1C" w:rsidP="00E64F1C">
      <w:pPr>
        <w:numPr>
          <w:ilvl w:val="0"/>
          <w:numId w:val="4"/>
        </w:numPr>
        <w:tabs>
          <w:tab w:val="clear" w:pos="720"/>
        </w:tabs>
        <w:ind w:left="993" w:hanging="426"/>
        <w:rPr>
          <w:rFonts w:ascii="SymbolMT" w:eastAsia="Times New Roman" w:hAnsi="SymbolMT" w:cs="Times New Roman"/>
          <w:lang w:eastAsia="en-GB"/>
        </w:rPr>
      </w:pPr>
      <w:r w:rsidRPr="00E64F1C">
        <w:rPr>
          <w:rFonts w:ascii="Calibri" w:eastAsia="Times New Roman" w:hAnsi="Calibri" w:cs="Calibri"/>
          <w:lang w:eastAsia="en-GB"/>
        </w:rPr>
        <w:t xml:space="preserve">Helping students to follow courses that are appropriate to their </w:t>
      </w:r>
      <w:r>
        <w:rPr>
          <w:rFonts w:ascii="Calibri" w:eastAsia="Times New Roman" w:hAnsi="Calibri" w:cs="Calibri"/>
          <w:lang w:eastAsia="en-GB"/>
        </w:rPr>
        <w:t xml:space="preserve">individual </w:t>
      </w:r>
      <w:r w:rsidRPr="00E64F1C">
        <w:rPr>
          <w:rFonts w:ascii="Calibri" w:eastAsia="Times New Roman" w:hAnsi="Calibri" w:cs="Calibri"/>
          <w:lang w:eastAsia="en-GB"/>
        </w:rPr>
        <w:t xml:space="preserve">needs </w:t>
      </w:r>
    </w:p>
    <w:p w14:paraId="5744049C" w14:textId="77777777" w:rsidR="00E64F1C" w:rsidRPr="00E64F1C" w:rsidRDefault="00E64F1C" w:rsidP="00E64F1C">
      <w:pPr>
        <w:numPr>
          <w:ilvl w:val="0"/>
          <w:numId w:val="4"/>
        </w:numPr>
        <w:tabs>
          <w:tab w:val="clear" w:pos="720"/>
        </w:tabs>
        <w:ind w:left="993" w:hanging="426"/>
        <w:rPr>
          <w:rFonts w:ascii="SymbolMT" w:eastAsia="Times New Roman" w:hAnsi="SymbolMT" w:cs="Times New Roman"/>
          <w:lang w:eastAsia="en-GB"/>
        </w:rPr>
      </w:pPr>
      <w:r w:rsidRPr="00E64F1C">
        <w:rPr>
          <w:rFonts w:ascii="Calibri" w:eastAsia="Times New Roman" w:hAnsi="Calibri" w:cs="Calibri"/>
          <w:lang w:eastAsia="en-GB"/>
        </w:rPr>
        <w:t xml:space="preserve">Improving understanding of the world of work </w:t>
      </w:r>
    </w:p>
    <w:p w14:paraId="6771AECF" w14:textId="77777777" w:rsidR="00E64F1C" w:rsidRPr="00E64F1C" w:rsidRDefault="00E64F1C" w:rsidP="00E64F1C">
      <w:pPr>
        <w:numPr>
          <w:ilvl w:val="0"/>
          <w:numId w:val="4"/>
        </w:numPr>
        <w:tabs>
          <w:tab w:val="clear" w:pos="720"/>
        </w:tabs>
        <w:ind w:left="993" w:hanging="426"/>
        <w:rPr>
          <w:rFonts w:ascii="SymbolMT" w:eastAsia="Times New Roman" w:hAnsi="SymbolMT" w:cs="Times New Roman"/>
          <w:lang w:eastAsia="en-GB"/>
        </w:rPr>
      </w:pPr>
      <w:r w:rsidRPr="00E64F1C">
        <w:rPr>
          <w:rFonts w:ascii="Calibri" w:eastAsia="Times New Roman" w:hAnsi="Calibri" w:cs="Calibri"/>
          <w:lang w:eastAsia="en-GB"/>
        </w:rPr>
        <w:t xml:space="preserve">Ensuring appropriate provision and guidance </w:t>
      </w:r>
    </w:p>
    <w:p w14:paraId="0F4C28BF" w14:textId="42A8475F" w:rsidR="00E64F1C" w:rsidRPr="00E64F1C" w:rsidRDefault="004E798A" w:rsidP="00E64F1C">
      <w:pPr>
        <w:numPr>
          <w:ilvl w:val="0"/>
          <w:numId w:val="4"/>
        </w:numPr>
        <w:tabs>
          <w:tab w:val="clear" w:pos="720"/>
        </w:tabs>
        <w:ind w:left="993" w:hanging="426"/>
        <w:rPr>
          <w:rFonts w:ascii="SymbolMT" w:eastAsia="Times New Roman" w:hAnsi="SymbolMT" w:cs="Times New Roman"/>
          <w:lang w:eastAsia="en-GB"/>
        </w:rPr>
      </w:pPr>
      <w:r>
        <w:rPr>
          <w:rFonts w:ascii="Calibri" w:eastAsia="Times New Roman" w:hAnsi="Calibri" w:cs="Calibri"/>
          <w:lang w:eastAsia="en-GB"/>
        </w:rPr>
        <w:t>Supporting s</w:t>
      </w:r>
      <w:r w:rsidR="00E64F1C" w:rsidRPr="00E64F1C">
        <w:rPr>
          <w:rFonts w:ascii="Calibri" w:eastAsia="Times New Roman" w:hAnsi="Calibri" w:cs="Calibri"/>
          <w:lang w:eastAsia="en-GB"/>
        </w:rPr>
        <w:t xml:space="preserve">uccessful transition to the next stage of education and employment </w:t>
      </w:r>
    </w:p>
    <w:p w14:paraId="77C3F04A" w14:textId="77777777" w:rsidR="00E64F1C" w:rsidRPr="00E64F1C" w:rsidRDefault="00E64F1C" w:rsidP="00E64F1C">
      <w:pPr>
        <w:numPr>
          <w:ilvl w:val="0"/>
          <w:numId w:val="4"/>
        </w:numPr>
        <w:tabs>
          <w:tab w:val="clear" w:pos="720"/>
        </w:tabs>
        <w:ind w:left="993" w:hanging="426"/>
        <w:rPr>
          <w:rFonts w:ascii="SymbolMT" w:eastAsia="Times New Roman" w:hAnsi="SymbolMT" w:cs="Times New Roman"/>
          <w:lang w:eastAsia="en-GB"/>
        </w:rPr>
      </w:pPr>
      <w:r w:rsidRPr="00E64F1C">
        <w:rPr>
          <w:rFonts w:ascii="Calibri" w:eastAsia="Times New Roman" w:hAnsi="Calibri" w:cs="Calibri"/>
          <w:lang w:eastAsia="en-GB"/>
        </w:rPr>
        <w:t xml:space="preserve">Empowering students to plan and manage their own futures </w:t>
      </w:r>
    </w:p>
    <w:p w14:paraId="32E63CF9" w14:textId="77777777" w:rsidR="00E64F1C" w:rsidRPr="00E64F1C" w:rsidRDefault="00E64F1C" w:rsidP="00E64F1C">
      <w:pPr>
        <w:numPr>
          <w:ilvl w:val="0"/>
          <w:numId w:val="4"/>
        </w:numPr>
        <w:tabs>
          <w:tab w:val="clear" w:pos="720"/>
        </w:tabs>
        <w:ind w:left="993" w:hanging="426"/>
        <w:rPr>
          <w:rFonts w:ascii="SymbolMT" w:eastAsia="Times New Roman" w:hAnsi="SymbolMT" w:cs="Times New Roman"/>
          <w:lang w:eastAsia="en-GB"/>
        </w:rPr>
      </w:pPr>
      <w:r w:rsidRPr="00E64F1C">
        <w:rPr>
          <w:rFonts w:ascii="Calibri" w:eastAsia="Times New Roman" w:hAnsi="Calibri" w:cs="Calibri"/>
          <w:lang w:eastAsia="en-GB"/>
        </w:rPr>
        <w:t xml:space="preserve">Offering a responsive service that allows time for face to face guidance </w:t>
      </w:r>
    </w:p>
    <w:p w14:paraId="45BDDA1F" w14:textId="77777777" w:rsidR="00E64F1C" w:rsidRPr="00E64F1C" w:rsidRDefault="00E64F1C" w:rsidP="00E64F1C">
      <w:pPr>
        <w:numPr>
          <w:ilvl w:val="0"/>
          <w:numId w:val="4"/>
        </w:numPr>
        <w:tabs>
          <w:tab w:val="clear" w:pos="720"/>
        </w:tabs>
        <w:ind w:left="993" w:hanging="426"/>
        <w:rPr>
          <w:rFonts w:ascii="SymbolMT" w:eastAsia="Times New Roman" w:hAnsi="SymbolMT" w:cs="Times New Roman"/>
          <w:lang w:eastAsia="en-GB"/>
        </w:rPr>
      </w:pPr>
      <w:r w:rsidRPr="00E64F1C">
        <w:rPr>
          <w:rFonts w:ascii="Calibri" w:eastAsia="Times New Roman" w:hAnsi="Calibri" w:cs="Calibri"/>
          <w:lang w:eastAsia="en-GB"/>
        </w:rPr>
        <w:t xml:space="preserve">Providing comprehensive and unbiased advice and guidance </w:t>
      </w:r>
    </w:p>
    <w:p w14:paraId="1F65C3E9" w14:textId="77777777" w:rsidR="00E64F1C" w:rsidRPr="00E64F1C" w:rsidRDefault="00E64F1C" w:rsidP="00E64F1C">
      <w:pPr>
        <w:numPr>
          <w:ilvl w:val="0"/>
          <w:numId w:val="4"/>
        </w:numPr>
        <w:tabs>
          <w:tab w:val="clear" w:pos="720"/>
        </w:tabs>
        <w:ind w:left="993" w:hanging="426"/>
        <w:rPr>
          <w:rFonts w:ascii="SymbolMT" w:eastAsia="Times New Roman" w:hAnsi="SymbolMT" w:cs="Times New Roman"/>
          <w:lang w:eastAsia="en-GB"/>
        </w:rPr>
      </w:pPr>
      <w:r w:rsidRPr="00E64F1C">
        <w:rPr>
          <w:rFonts w:ascii="Calibri" w:eastAsia="Times New Roman" w:hAnsi="Calibri" w:cs="Calibri"/>
          <w:lang w:eastAsia="en-GB"/>
        </w:rPr>
        <w:t xml:space="preserve">Actively promoting equality and challenging all stereotypes </w:t>
      </w:r>
    </w:p>
    <w:p w14:paraId="5C68C016" w14:textId="6B827C82" w:rsidR="00C149E8" w:rsidRDefault="00C149E8" w:rsidP="007A6AD7">
      <w:pPr>
        <w:pStyle w:val="ocular-col"/>
        <w:spacing w:before="0" w:beforeAutospacing="0" w:after="0" w:afterAutospacing="0"/>
        <w:ind w:left="567" w:right="741"/>
        <w:rPr>
          <w:rFonts w:asciiTheme="minorHAnsi" w:hAnsiTheme="minorHAnsi" w:cstheme="minorHAnsi"/>
          <w:b/>
          <w:bCs/>
          <w:color w:val="000A12"/>
        </w:rPr>
      </w:pPr>
    </w:p>
    <w:p w14:paraId="07EF64BE" w14:textId="77777777" w:rsidR="008645C0" w:rsidRDefault="008645C0" w:rsidP="007A6AD7">
      <w:pPr>
        <w:pStyle w:val="ocular-col"/>
        <w:spacing w:before="0" w:beforeAutospacing="0" w:after="0" w:afterAutospacing="0"/>
        <w:ind w:left="567" w:right="741"/>
        <w:rPr>
          <w:rFonts w:asciiTheme="minorHAnsi" w:hAnsiTheme="minorHAnsi" w:cstheme="minorHAnsi"/>
          <w:b/>
          <w:bCs/>
          <w:color w:val="000A12"/>
        </w:rPr>
      </w:pPr>
    </w:p>
    <w:p w14:paraId="62888B8F" w14:textId="79EB8C0D" w:rsidR="00BE6F69" w:rsidRPr="00BE6F69" w:rsidRDefault="00BE6F69" w:rsidP="007A6AD7">
      <w:pPr>
        <w:pStyle w:val="ocular-col"/>
        <w:spacing w:before="0" w:beforeAutospacing="0" w:after="0" w:afterAutospacing="0"/>
        <w:ind w:left="567" w:right="741"/>
        <w:rPr>
          <w:rFonts w:asciiTheme="minorHAnsi" w:hAnsiTheme="minorHAnsi" w:cstheme="minorHAnsi"/>
          <w:b/>
          <w:bCs/>
          <w:color w:val="000A12"/>
        </w:rPr>
      </w:pPr>
      <w:r w:rsidRPr="00BE6F69">
        <w:rPr>
          <w:rFonts w:asciiTheme="minorHAnsi" w:hAnsiTheme="minorHAnsi" w:cstheme="minorHAnsi"/>
          <w:b/>
          <w:bCs/>
          <w:color w:val="000A12"/>
        </w:rPr>
        <w:lastRenderedPageBreak/>
        <w:t>Delivery of the Careers Programme</w:t>
      </w:r>
    </w:p>
    <w:p w14:paraId="68F64851" w14:textId="74312201" w:rsidR="00BE6F69" w:rsidRDefault="00C52E8B" w:rsidP="007A6AD7">
      <w:pPr>
        <w:pStyle w:val="ocular-col"/>
        <w:spacing w:before="0" w:beforeAutospacing="0" w:after="0" w:afterAutospacing="0"/>
        <w:ind w:left="567" w:right="741"/>
        <w:rPr>
          <w:rStyle w:val="apple-converted-space"/>
          <w:rFonts w:asciiTheme="minorHAnsi" w:hAnsiTheme="minorHAnsi" w:cstheme="minorHAnsi"/>
          <w:color w:val="000A12"/>
        </w:rPr>
      </w:pPr>
      <w:r w:rsidRPr="00BE6F69">
        <w:rPr>
          <w:rFonts w:asciiTheme="minorHAnsi" w:hAnsiTheme="minorHAnsi" w:cstheme="minorHAnsi"/>
          <w:color w:val="000A12"/>
        </w:rPr>
        <w:t xml:space="preserve">All staff contribute to </w:t>
      </w:r>
      <w:r>
        <w:rPr>
          <w:rFonts w:asciiTheme="minorHAnsi" w:hAnsiTheme="minorHAnsi" w:cstheme="minorHAnsi"/>
          <w:color w:val="000A12"/>
        </w:rPr>
        <w:t>the careers programme in</w:t>
      </w:r>
      <w:r w:rsidRPr="00BE6F69">
        <w:rPr>
          <w:rFonts w:asciiTheme="minorHAnsi" w:hAnsiTheme="minorHAnsi" w:cstheme="minorHAnsi"/>
          <w:color w:val="000A12"/>
        </w:rPr>
        <w:t xml:space="preserve"> their roles as tutors and subject teachers. </w:t>
      </w:r>
      <w:r>
        <w:rPr>
          <w:rFonts w:asciiTheme="minorHAnsi" w:hAnsiTheme="minorHAnsi" w:cstheme="minorHAnsi"/>
          <w:color w:val="000A12"/>
        </w:rPr>
        <w:t xml:space="preserve"> The</w:t>
      </w:r>
      <w:r w:rsidRPr="00BE6F69">
        <w:rPr>
          <w:rFonts w:asciiTheme="minorHAnsi" w:hAnsiTheme="minorHAnsi" w:cstheme="minorHAnsi"/>
          <w:color w:val="000A12"/>
        </w:rPr>
        <w:t xml:space="preserve"> careers programme is incorporated into the PSHE programme and supported by extended learning sessions as well as organised visits to relevant institutions. </w:t>
      </w:r>
      <w:r>
        <w:rPr>
          <w:rFonts w:asciiTheme="minorHAnsi" w:hAnsiTheme="minorHAnsi" w:cstheme="minorHAnsi"/>
          <w:color w:val="000A12"/>
        </w:rPr>
        <w:t xml:space="preserve"> </w:t>
      </w:r>
      <w:r w:rsidR="00C149E8">
        <w:rPr>
          <w:rFonts w:ascii="Calibri" w:hAnsi="Calibri" w:cs="Calibri"/>
        </w:rPr>
        <w:t>Subject staff are responsible for identification of work</w:t>
      </w:r>
      <w:r w:rsidR="00670870">
        <w:rPr>
          <w:rFonts w:ascii="Calibri" w:hAnsi="Calibri" w:cs="Calibri"/>
        </w:rPr>
        <w:t>-</w:t>
      </w:r>
      <w:r w:rsidR="00C149E8">
        <w:rPr>
          <w:rFonts w:ascii="Calibri" w:hAnsi="Calibri" w:cs="Calibri"/>
        </w:rPr>
        <w:t>related learning elements within schemes/plans and implementation of work</w:t>
      </w:r>
      <w:r w:rsidR="00670870">
        <w:rPr>
          <w:rFonts w:ascii="Calibri" w:hAnsi="Calibri" w:cs="Calibri"/>
        </w:rPr>
        <w:t>-</w:t>
      </w:r>
      <w:r w:rsidR="00C149E8">
        <w:rPr>
          <w:rFonts w:ascii="Calibri" w:hAnsi="Calibri" w:cs="Calibri"/>
        </w:rPr>
        <w:t xml:space="preserve">related elements. </w:t>
      </w:r>
      <w:r w:rsidR="00C149E8">
        <w:rPr>
          <w:rFonts w:asciiTheme="minorHAnsi" w:hAnsiTheme="minorHAnsi" w:cstheme="minorHAnsi"/>
          <w:color w:val="000A12"/>
        </w:rPr>
        <w:t xml:space="preserve"> </w:t>
      </w:r>
      <w:r>
        <w:rPr>
          <w:rFonts w:asciiTheme="minorHAnsi" w:hAnsiTheme="minorHAnsi" w:cstheme="minorHAnsi"/>
          <w:color w:val="000A12"/>
        </w:rPr>
        <w:t>S</w:t>
      </w:r>
      <w:r w:rsidRPr="00BE6F69">
        <w:rPr>
          <w:rFonts w:asciiTheme="minorHAnsi" w:hAnsiTheme="minorHAnsi" w:cstheme="minorHAnsi"/>
          <w:color w:val="000A12"/>
        </w:rPr>
        <w:t>pecialist activities are provided by external agencies such as EBP South (Education Business Partner), Southampton University Outreach Team and other selected providers as appropriate. Whenever possible, local colleges and members of the education and business community are invited in to share their first-hand experience of training routes and work contexts with our students.</w:t>
      </w:r>
      <w:r>
        <w:rPr>
          <w:rFonts w:asciiTheme="minorHAnsi" w:hAnsiTheme="minorHAnsi" w:cstheme="minorHAnsi"/>
          <w:color w:val="000A12"/>
        </w:rPr>
        <w:t xml:space="preserve">  </w:t>
      </w:r>
      <w:r w:rsidR="00BE6F69" w:rsidRPr="00BE6F69">
        <w:rPr>
          <w:rFonts w:asciiTheme="minorHAnsi" w:hAnsiTheme="minorHAnsi" w:cstheme="minorHAnsi"/>
          <w:color w:val="000A12"/>
        </w:rPr>
        <w:t xml:space="preserve">The careers area </w:t>
      </w:r>
      <w:r>
        <w:rPr>
          <w:rFonts w:asciiTheme="minorHAnsi" w:hAnsiTheme="minorHAnsi" w:cstheme="minorHAnsi"/>
          <w:color w:val="000A12"/>
        </w:rPr>
        <w:t xml:space="preserve">in the school </w:t>
      </w:r>
      <w:r w:rsidR="00BE6F69" w:rsidRPr="00BE6F69">
        <w:rPr>
          <w:rFonts w:asciiTheme="minorHAnsi" w:hAnsiTheme="minorHAnsi" w:cstheme="minorHAnsi"/>
          <w:color w:val="000A12"/>
        </w:rPr>
        <w:t xml:space="preserve">provides specialist </w:t>
      </w:r>
      <w:r>
        <w:rPr>
          <w:rFonts w:asciiTheme="minorHAnsi" w:hAnsiTheme="minorHAnsi" w:cstheme="minorHAnsi"/>
          <w:color w:val="000A12"/>
        </w:rPr>
        <w:t xml:space="preserve">individual </w:t>
      </w:r>
      <w:r w:rsidR="00BE6F69" w:rsidRPr="00BE6F69">
        <w:rPr>
          <w:rFonts w:asciiTheme="minorHAnsi" w:hAnsiTheme="minorHAnsi" w:cstheme="minorHAnsi"/>
          <w:color w:val="000A12"/>
        </w:rPr>
        <w:t xml:space="preserve">career and personal development advice and at least one guidance interview is offered to each student while they are at St George. </w:t>
      </w:r>
      <w:r>
        <w:rPr>
          <w:rFonts w:asciiTheme="minorHAnsi" w:hAnsiTheme="minorHAnsi" w:cstheme="minorHAnsi"/>
          <w:color w:val="000A12"/>
        </w:rPr>
        <w:t xml:space="preserve"> M</w:t>
      </w:r>
      <w:r w:rsidR="00BE6F69" w:rsidRPr="00BE6F69">
        <w:rPr>
          <w:rFonts w:asciiTheme="minorHAnsi" w:hAnsiTheme="minorHAnsi" w:cstheme="minorHAnsi"/>
          <w:color w:val="000A12"/>
        </w:rPr>
        <w:t>any students will have several interviews during their time in school depending on their needs</w:t>
      </w:r>
      <w:r w:rsidR="00BE6F69" w:rsidRPr="00BE6F69">
        <w:rPr>
          <w:rStyle w:val="apple-converted-space"/>
          <w:rFonts w:asciiTheme="minorHAnsi" w:hAnsiTheme="minorHAnsi" w:cstheme="minorHAnsi"/>
          <w:color w:val="000A12"/>
        </w:rPr>
        <w:t>.</w:t>
      </w:r>
    </w:p>
    <w:p w14:paraId="796860D1" w14:textId="34571DC0" w:rsidR="004E798A" w:rsidRDefault="004E798A" w:rsidP="007A6AD7">
      <w:pPr>
        <w:pStyle w:val="ocular-col"/>
        <w:spacing w:before="0" w:beforeAutospacing="0" w:after="0" w:afterAutospacing="0"/>
        <w:ind w:left="567" w:right="741"/>
        <w:rPr>
          <w:rStyle w:val="apple-converted-space"/>
          <w:rFonts w:asciiTheme="minorHAnsi" w:hAnsiTheme="minorHAnsi" w:cstheme="minorHAnsi"/>
          <w:color w:val="000A12"/>
        </w:rPr>
      </w:pPr>
    </w:p>
    <w:p w14:paraId="52AD3211" w14:textId="7C73D616" w:rsidR="006200AD" w:rsidRPr="00167DF4" w:rsidRDefault="004E798A" w:rsidP="008645C0">
      <w:pPr>
        <w:pStyle w:val="ocular-col"/>
        <w:spacing w:before="0" w:beforeAutospacing="0" w:after="0" w:afterAutospacing="0"/>
        <w:ind w:left="567" w:right="741"/>
        <w:rPr>
          <w:rFonts w:asciiTheme="minorHAnsi" w:hAnsiTheme="minorHAnsi" w:cstheme="minorHAnsi"/>
          <w:color w:val="000A12"/>
        </w:rPr>
      </w:pPr>
      <w:r>
        <w:rPr>
          <w:rStyle w:val="apple-converted-space"/>
          <w:rFonts w:asciiTheme="minorHAnsi" w:hAnsiTheme="minorHAnsi" w:cstheme="minorHAnsi"/>
          <w:color w:val="000A12"/>
        </w:rPr>
        <w:t xml:space="preserve">Full details of the programme are shown in the table </w:t>
      </w:r>
      <w:r w:rsidR="006200AD">
        <w:rPr>
          <w:rStyle w:val="apple-converted-space"/>
          <w:rFonts w:asciiTheme="minorHAnsi" w:hAnsiTheme="minorHAnsi" w:cstheme="minorHAnsi"/>
          <w:color w:val="000A12"/>
        </w:rPr>
        <w:t>at this link</w:t>
      </w:r>
      <w:r w:rsidR="006200AD" w:rsidRPr="008645C0">
        <w:rPr>
          <w:rStyle w:val="apple-converted-space"/>
          <w:rFonts w:asciiTheme="minorHAnsi" w:hAnsiTheme="minorHAnsi" w:cstheme="minorHAnsi"/>
          <w:color w:val="000A12"/>
          <w:sz w:val="44"/>
          <w:szCs w:val="44"/>
        </w:rPr>
        <w:t>:</w:t>
      </w:r>
      <w:r w:rsidR="008645C0">
        <w:rPr>
          <w:rStyle w:val="apple-converted-space"/>
          <w:rFonts w:asciiTheme="minorHAnsi" w:hAnsiTheme="minorHAnsi" w:cstheme="minorHAnsi"/>
          <w:color w:val="000A12"/>
          <w:sz w:val="44"/>
          <w:szCs w:val="44"/>
        </w:rPr>
        <w:t xml:space="preserve">  </w:t>
      </w:r>
      <w:r w:rsidR="00167DF4">
        <w:rPr>
          <w:rStyle w:val="apple-converted-space"/>
          <w:rFonts w:asciiTheme="minorHAnsi" w:hAnsiTheme="minorHAnsi" w:cstheme="minorHAnsi"/>
          <w:color w:val="000A12"/>
        </w:rPr>
        <w:t>(being updated)</w:t>
      </w:r>
      <w:bookmarkStart w:id="0" w:name="_GoBack"/>
      <w:bookmarkEnd w:id="0"/>
    </w:p>
    <w:p w14:paraId="4ABA7CAC" w14:textId="0B924DA2" w:rsidR="00BE6F69" w:rsidRDefault="00BE6F69" w:rsidP="007A6AD7">
      <w:pPr>
        <w:ind w:left="567" w:right="741"/>
        <w:rPr>
          <w:rFonts w:cstheme="minorHAnsi"/>
        </w:rPr>
      </w:pPr>
    </w:p>
    <w:p w14:paraId="06B8F91A" w14:textId="4CEA8F6E" w:rsidR="00BE6F69" w:rsidRPr="00BE6F69" w:rsidRDefault="004B30E8" w:rsidP="007A6AD7">
      <w:pPr>
        <w:ind w:left="567" w:right="741"/>
        <w:rPr>
          <w:rFonts w:cstheme="minorHAnsi"/>
          <w:b/>
          <w:bCs/>
        </w:rPr>
      </w:pPr>
      <w:r>
        <w:rPr>
          <w:rFonts w:cstheme="minorHAnsi"/>
          <w:b/>
          <w:bCs/>
        </w:rPr>
        <w:t>Up to date information</w:t>
      </w:r>
    </w:p>
    <w:p w14:paraId="17907C75" w14:textId="0725F40D" w:rsidR="001F3838" w:rsidRDefault="001F3838" w:rsidP="007A6AD7">
      <w:pPr>
        <w:pStyle w:val="ocular-col"/>
        <w:spacing w:before="0" w:beforeAutospacing="0" w:after="0" w:afterAutospacing="0"/>
        <w:ind w:left="567" w:right="741"/>
        <w:rPr>
          <w:rFonts w:asciiTheme="minorHAnsi" w:hAnsiTheme="minorHAnsi" w:cstheme="minorHAnsi"/>
          <w:color w:val="000A12"/>
        </w:rPr>
      </w:pPr>
      <w:r w:rsidRPr="00BE6F69">
        <w:rPr>
          <w:rFonts w:asciiTheme="minorHAnsi" w:hAnsiTheme="minorHAnsi" w:cstheme="minorHAnsi"/>
          <w:color w:val="000A12"/>
        </w:rPr>
        <w:t>The Careers Adviser has strong links with the local community, colleges and E</w:t>
      </w:r>
      <w:r>
        <w:rPr>
          <w:rFonts w:asciiTheme="minorHAnsi" w:hAnsiTheme="minorHAnsi" w:cstheme="minorHAnsi"/>
          <w:color w:val="000A12"/>
        </w:rPr>
        <w:t xml:space="preserve">ducation </w:t>
      </w:r>
      <w:r w:rsidRPr="00BE6F69">
        <w:rPr>
          <w:rFonts w:asciiTheme="minorHAnsi" w:hAnsiTheme="minorHAnsi" w:cstheme="minorHAnsi"/>
          <w:color w:val="000A12"/>
        </w:rPr>
        <w:t>B</w:t>
      </w:r>
      <w:r>
        <w:rPr>
          <w:rFonts w:asciiTheme="minorHAnsi" w:hAnsiTheme="minorHAnsi" w:cstheme="minorHAnsi"/>
          <w:color w:val="000A12"/>
        </w:rPr>
        <w:t xml:space="preserve">usiness </w:t>
      </w:r>
      <w:r w:rsidRPr="00BE6F69">
        <w:rPr>
          <w:rFonts w:asciiTheme="minorHAnsi" w:hAnsiTheme="minorHAnsi" w:cstheme="minorHAnsi"/>
          <w:color w:val="000A12"/>
        </w:rPr>
        <w:t>P</w:t>
      </w:r>
      <w:r>
        <w:rPr>
          <w:rFonts w:asciiTheme="minorHAnsi" w:hAnsiTheme="minorHAnsi" w:cstheme="minorHAnsi"/>
          <w:color w:val="000A12"/>
        </w:rPr>
        <w:t>artnership</w:t>
      </w:r>
      <w:r w:rsidRPr="00BE6F69">
        <w:rPr>
          <w:rFonts w:asciiTheme="minorHAnsi" w:hAnsiTheme="minorHAnsi" w:cstheme="minorHAnsi"/>
          <w:color w:val="000A12"/>
        </w:rPr>
        <w:t xml:space="preserve"> South</w:t>
      </w:r>
      <w:r>
        <w:rPr>
          <w:rFonts w:asciiTheme="minorHAnsi" w:hAnsiTheme="minorHAnsi" w:cstheme="minorHAnsi"/>
          <w:color w:val="000A12"/>
        </w:rPr>
        <w:t xml:space="preserve"> and Southampton City Council, from which up to date local careers information and opportunities are regularly communicated and made available to all students or specific target audiences </w:t>
      </w:r>
      <w:r w:rsidR="00C149E8">
        <w:rPr>
          <w:rFonts w:asciiTheme="minorHAnsi" w:hAnsiTheme="minorHAnsi" w:cstheme="minorHAnsi"/>
          <w:color w:val="000A12"/>
        </w:rPr>
        <w:t>as</w:t>
      </w:r>
      <w:r>
        <w:rPr>
          <w:rFonts w:asciiTheme="minorHAnsi" w:hAnsiTheme="minorHAnsi" w:cstheme="minorHAnsi"/>
          <w:color w:val="000A12"/>
        </w:rPr>
        <w:t xml:space="preserve"> appropriate.  E</w:t>
      </w:r>
      <w:r w:rsidRPr="00BE6F69">
        <w:rPr>
          <w:rFonts w:asciiTheme="minorHAnsi" w:hAnsiTheme="minorHAnsi" w:cstheme="minorHAnsi"/>
          <w:color w:val="000A12"/>
        </w:rPr>
        <w:t xml:space="preserve">mails and messages are regularly sent to students, parents/carers and other </w:t>
      </w:r>
      <w:r>
        <w:rPr>
          <w:rFonts w:asciiTheme="minorHAnsi" w:hAnsiTheme="minorHAnsi" w:cstheme="minorHAnsi"/>
          <w:color w:val="000A12"/>
        </w:rPr>
        <w:t xml:space="preserve">appropriate </w:t>
      </w:r>
      <w:r w:rsidRPr="00BE6F69">
        <w:rPr>
          <w:rFonts w:asciiTheme="minorHAnsi" w:hAnsiTheme="minorHAnsi" w:cstheme="minorHAnsi"/>
          <w:color w:val="000A12"/>
        </w:rPr>
        <w:t xml:space="preserve">parties to make them aware </w:t>
      </w:r>
      <w:r>
        <w:rPr>
          <w:rFonts w:asciiTheme="minorHAnsi" w:hAnsiTheme="minorHAnsi" w:cstheme="minorHAnsi"/>
          <w:color w:val="000A12"/>
        </w:rPr>
        <w:t>of</w:t>
      </w:r>
      <w:r w:rsidRPr="00BE6F69">
        <w:rPr>
          <w:rFonts w:asciiTheme="minorHAnsi" w:hAnsiTheme="minorHAnsi" w:cstheme="minorHAnsi"/>
          <w:color w:val="000A12"/>
        </w:rPr>
        <w:t xml:space="preserve"> relevant career related information</w:t>
      </w:r>
      <w:r>
        <w:rPr>
          <w:rFonts w:asciiTheme="minorHAnsi" w:hAnsiTheme="minorHAnsi" w:cstheme="minorHAnsi"/>
          <w:color w:val="000A12"/>
        </w:rPr>
        <w:t>, activities and events</w:t>
      </w:r>
      <w:r w:rsidRPr="00BE6F69">
        <w:rPr>
          <w:rFonts w:asciiTheme="minorHAnsi" w:hAnsiTheme="minorHAnsi" w:cstheme="minorHAnsi"/>
          <w:color w:val="000A12"/>
        </w:rPr>
        <w:t>.</w:t>
      </w:r>
      <w:r>
        <w:rPr>
          <w:rFonts w:asciiTheme="minorHAnsi" w:hAnsiTheme="minorHAnsi" w:cstheme="minorHAnsi"/>
          <w:color w:val="000A12"/>
        </w:rPr>
        <w:t xml:space="preserve">  The s</w:t>
      </w:r>
      <w:r w:rsidRPr="00BE6F69">
        <w:rPr>
          <w:rFonts w:asciiTheme="minorHAnsi" w:hAnsiTheme="minorHAnsi" w:cstheme="minorHAnsi"/>
          <w:color w:val="000A12"/>
        </w:rPr>
        <w:t>chool also encourages pupils, parents/carers, teachers and employers to access</w:t>
      </w:r>
      <w:r>
        <w:rPr>
          <w:rFonts w:asciiTheme="minorHAnsi" w:hAnsiTheme="minorHAnsi" w:cstheme="minorHAnsi"/>
          <w:color w:val="000A12"/>
        </w:rPr>
        <w:t xml:space="preserve"> </w:t>
      </w:r>
      <w:r w:rsidR="004B30E8">
        <w:rPr>
          <w:rFonts w:asciiTheme="minorHAnsi" w:hAnsiTheme="minorHAnsi" w:cstheme="minorHAnsi"/>
          <w:color w:val="000A12"/>
        </w:rPr>
        <w:t xml:space="preserve">the </w:t>
      </w:r>
      <w:r>
        <w:rPr>
          <w:rFonts w:asciiTheme="minorHAnsi" w:hAnsiTheme="minorHAnsi" w:cstheme="minorHAnsi"/>
          <w:color w:val="000A12"/>
        </w:rPr>
        <w:t xml:space="preserve">school website to </w:t>
      </w:r>
      <w:r w:rsidR="004B30E8">
        <w:rPr>
          <w:rFonts w:asciiTheme="minorHAnsi" w:hAnsiTheme="minorHAnsi" w:cstheme="minorHAnsi"/>
          <w:color w:val="000A12"/>
        </w:rPr>
        <w:t>find out more about</w:t>
      </w:r>
      <w:r w:rsidRPr="00BE6F69">
        <w:rPr>
          <w:rFonts w:asciiTheme="minorHAnsi" w:hAnsiTheme="minorHAnsi" w:cstheme="minorHAnsi"/>
          <w:color w:val="000A12"/>
        </w:rPr>
        <w:t xml:space="preserve"> the careers programme</w:t>
      </w:r>
      <w:r>
        <w:rPr>
          <w:rFonts w:asciiTheme="minorHAnsi" w:hAnsiTheme="minorHAnsi" w:cstheme="minorHAnsi"/>
          <w:color w:val="000A12"/>
        </w:rPr>
        <w:t xml:space="preserve"> and </w:t>
      </w:r>
      <w:r w:rsidR="004B30E8">
        <w:rPr>
          <w:rFonts w:asciiTheme="minorHAnsi" w:hAnsiTheme="minorHAnsi" w:cstheme="minorHAnsi"/>
          <w:color w:val="000A12"/>
        </w:rPr>
        <w:t xml:space="preserve">to benefit from </w:t>
      </w:r>
      <w:r>
        <w:rPr>
          <w:rFonts w:asciiTheme="minorHAnsi" w:hAnsiTheme="minorHAnsi" w:cstheme="minorHAnsi"/>
          <w:color w:val="000A12"/>
        </w:rPr>
        <w:t>all the careers information</w:t>
      </w:r>
      <w:r w:rsidR="004B30E8">
        <w:rPr>
          <w:rFonts w:asciiTheme="minorHAnsi" w:hAnsiTheme="minorHAnsi" w:cstheme="minorHAnsi"/>
          <w:color w:val="000A12"/>
        </w:rPr>
        <w:t xml:space="preserve">, </w:t>
      </w:r>
      <w:r>
        <w:rPr>
          <w:rFonts w:asciiTheme="minorHAnsi" w:hAnsiTheme="minorHAnsi" w:cstheme="minorHAnsi"/>
          <w:color w:val="000A12"/>
        </w:rPr>
        <w:t>advice</w:t>
      </w:r>
      <w:r w:rsidR="004B30E8">
        <w:rPr>
          <w:rFonts w:asciiTheme="minorHAnsi" w:hAnsiTheme="minorHAnsi" w:cstheme="minorHAnsi"/>
          <w:color w:val="000A12"/>
        </w:rPr>
        <w:t xml:space="preserve"> and external links available through the care</w:t>
      </w:r>
      <w:r w:rsidR="00C149E8">
        <w:rPr>
          <w:rFonts w:asciiTheme="minorHAnsi" w:hAnsiTheme="minorHAnsi" w:cstheme="minorHAnsi"/>
          <w:color w:val="000A12"/>
        </w:rPr>
        <w:t>e</w:t>
      </w:r>
      <w:r w:rsidR="004B30E8">
        <w:rPr>
          <w:rFonts w:asciiTheme="minorHAnsi" w:hAnsiTheme="minorHAnsi" w:cstheme="minorHAnsi"/>
          <w:color w:val="000A12"/>
        </w:rPr>
        <w:t xml:space="preserve">rs pages.  Additionally the </w:t>
      </w:r>
      <w:r w:rsidRPr="00BE6F69">
        <w:rPr>
          <w:rFonts w:asciiTheme="minorHAnsi" w:hAnsiTheme="minorHAnsi" w:cstheme="minorHAnsi"/>
          <w:color w:val="000A12"/>
        </w:rPr>
        <w:t>Careers Lead or Careers Adviser</w:t>
      </w:r>
      <w:r w:rsidR="004B30E8">
        <w:rPr>
          <w:rFonts w:asciiTheme="minorHAnsi" w:hAnsiTheme="minorHAnsi" w:cstheme="minorHAnsi"/>
          <w:color w:val="000A12"/>
        </w:rPr>
        <w:t xml:space="preserve"> can be contacted at any time for information.</w:t>
      </w:r>
    </w:p>
    <w:p w14:paraId="25CFCD1C" w14:textId="015432C8" w:rsidR="001F3838" w:rsidRDefault="001F3838" w:rsidP="007A6AD7">
      <w:pPr>
        <w:pStyle w:val="ocular-col"/>
        <w:spacing w:before="0" w:beforeAutospacing="0" w:after="0" w:afterAutospacing="0"/>
        <w:ind w:left="567" w:right="741"/>
        <w:rPr>
          <w:rFonts w:asciiTheme="minorHAnsi" w:hAnsiTheme="minorHAnsi" w:cstheme="minorHAnsi"/>
          <w:color w:val="000A12"/>
        </w:rPr>
      </w:pPr>
    </w:p>
    <w:p w14:paraId="162CD336" w14:textId="41091988" w:rsidR="004E798A" w:rsidRPr="00C149E8" w:rsidRDefault="004E798A" w:rsidP="00C149E8">
      <w:pPr>
        <w:pStyle w:val="ocular-col"/>
        <w:spacing w:before="0" w:beforeAutospacing="0" w:after="0" w:afterAutospacing="0"/>
        <w:ind w:left="567" w:right="741"/>
        <w:rPr>
          <w:rFonts w:asciiTheme="minorHAnsi" w:hAnsiTheme="minorHAnsi" w:cstheme="minorHAnsi"/>
          <w:b/>
          <w:bCs/>
          <w:color w:val="000A12"/>
        </w:rPr>
      </w:pPr>
      <w:r w:rsidRPr="00C149E8">
        <w:rPr>
          <w:rFonts w:asciiTheme="minorHAnsi" w:hAnsiTheme="minorHAnsi" w:cstheme="minorHAnsi"/>
          <w:b/>
          <w:bCs/>
          <w:color w:val="000A12"/>
        </w:rPr>
        <w:t xml:space="preserve">Management of </w:t>
      </w:r>
      <w:r w:rsidR="00C149E8" w:rsidRPr="00C149E8">
        <w:rPr>
          <w:rFonts w:asciiTheme="minorHAnsi" w:hAnsiTheme="minorHAnsi" w:cstheme="minorHAnsi"/>
          <w:b/>
          <w:bCs/>
          <w:color w:val="000A12"/>
        </w:rPr>
        <w:t>CEIAG in the school</w:t>
      </w:r>
    </w:p>
    <w:p w14:paraId="62A95DFF" w14:textId="736F88A0" w:rsidR="00C149E8" w:rsidRDefault="00C149E8" w:rsidP="00C149E8">
      <w:pPr>
        <w:pStyle w:val="NormalWeb"/>
        <w:spacing w:before="0" w:beforeAutospacing="0" w:after="0" w:afterAutospacing="0"/>
        <w:ind w:left="567"/>
      </w:pPr>
      <w:r>
        <w:rPr>
          <w:rFonts w:ascii="Calibri" w:hAnsi="Calibri" w:cs="Calibri"/>
        </w:rPr>
        <w:t xml:space="preserve">CEIAG is currently led and managed by a team consisting of the deputy headteacher and the Careers Adviser who are responsible for: </w:t>
      </w:r>
    </w:p>
    <w:p w14:paraId="1687E278" w14:textId="77777777" w:rsidR="00C149E8" w:rsidRDefault="00C149E8" w:rsidP="00C149E8">
      <w:pPr>
        <w:pStyle w:val="NormalWeb"/>
        <w:numPr>
          <w:ilvl w:val="1"/>
          <w:numId w:val="5"/>
        </w:numPr>
        <w:spacing w:before="0" w:beforeAutospacing="0" w:after="0" w:afterAutospacing="0"/>
        <w:ind w:left="993" w:hanging="426"/>
        <w:rPr>
          <w:rFonts w:ascii="SymbolMT" w:hAnsi="SymbolMT"/>
        </w:rPr>
      </w:pPr>
      <w:r>
        <w:rPr>
          <w:rFonts w:ascii="Calibri" w:hAnsi="Calibri" w:cs="Calibri"/>
        </w:rPr>
        <w:t xml:space="preserve">The management and coordination of the various aspects of CEIAG </w:t>
      </w:r>
    </w:p>
    <w:p w14:paraId="7607DF78" w14:textId="77777777" w:rsidR="00C149E8" w:rsidRDefault="00C149E8" w:rsidP="00C149E8">
      <w:pPr>
        <w:pStyle w:val="NormalWeb"/>
        <w:numPr>
          <w:ilvl w:val="1"/>
          <w:numId w:val="5"/>
        </w:numPr>
        <w:spacing w:before="0" w:beforeAutospacing="0" w:after="0" w:afterAutospacing="0"/>
        <w:ind w:left="993" w:hanging="426"/>
        <w:rPr>
          <w:rFonts w:ascii="SymbolMT" w:hAnsi="SymbolMT"/>
        </w:rPr>
      </w:pPr>
      <w:r>
        <w:rPr>
          <w:rFonts w:ascii="Calibri" w:hAnsi="Calibri" w:cs="Calibri"/>
        </w:rPr>
        <w:t xml:space="preserve">The activities at each Key Stage </w:t>
      </w:r>
    </w:p>
    <w:p w14:paraId="2715028B" w14:textId="77777777" w:rsidR="00C149E8" w:rsidRDefault="00C149E8" w:rsidP="00C149E8">
      <w:pPr>
        <w:pStyle w:val="NormalWeb"/>
        <w:numPr>
          <w:ilvl w:val="1"/>
          <w:numId w:val="5"/>
        </w:numPr>
        <w:spacing w:before="0" w:beforeAutospacing="0" w:after="0" w:afterAutospacing="0"/>
        <w:ind w:left="993" w:hanging="426"/>
        <w:rPr>
          <w:rFonts w:ascii="SymbolMT" w:hAnsi="SymbolMT"/>
        </w:rPr>
      </w:pPr>
      <w:r>
        <w:rPr>
          <w:rFonts w:ascii="Calibri" w:hAnsi="Calibri" w:cs="Calibri"/>
        </w:rPr>
        <w:t xml:space="preserve">Monitoring/evaluation </w:t>
      </w:r>
    </w:p>
    <w:p w14:paraId="6C0F6363" w14:textId="5ADC04E1" w:rsidR="00C149E8" w:rsidRDefault="00C149E8" w:rsidP="00C149E8">
      <w:pPr>
        <w:pStyle w:val="NormalWeb"/>
        <w:numPr>
          <w:ilvl w:val="1"/>
          <w:numId w:val="5"/>
        </w:numPr>
        <w:spacing w:before="0" w:beforeAutospacing="0" w:after="0" w:afterAutospacing="0"/>
        <w:ind w:left="993" w:hanging="426"/>
        <w:rPr>
          <w:rFonts w:ascii="SymbolMT" w:hAnsi="SymbolMT"/>
        </w:rPr>
      </w:pPr>
      <w:r>
        <w:rPr>
          <w:rFonts w:ascii="Calibri" w:hAnsi="Calibri" w:cs="Calibri"/>
        </w:rPr>
        <w:t>Liaison with the Senior Leadership Team, Governing body, Partners</w:t>
      </w:r>
    </w:p>
    <w:p w14:paraId="2564C574" w14:textId="019628FD" w:rsidR="00C149E8" w:rsidRDefault="00C149E8" w:rsidP="00C149E8">
      <w:pPr>
        <w:pStyle w:val="NormalWeb"/>
        <w:spacing w:before="0" w:beforeAutospacing="0" w:after="0" w:afterAutospacing="0"/>
        <w:ind w:left="567"/>
        <w:rPr>
          <w:rFonts w:ascii="SymbolMT" w:hAnsi="SymbolMT"/>
        </w:rPr>
      </w:pPr>
      <w:r>
        <w:rPr>
          <w:rFonts w:ascii="Calibri" w:hAnsi="Calibri" w:cs="Calibri"/>
        </w:rPr>
        <w:t>The team is line managed by the Head teacher and supported by the Chair of Governors.</w:t>
      </w:r>
    </w:p>
    <w:p w14:paraId="79C3B155" w14:textId="77777777" w:rsidR="004E798A" w:rsidRDefault="004E798A" w:rsidP="007A6AD7">
      <w:pPr>
        <w:pStyle w:val="ocular-col"/>
        <w:spacing w:before="0" w:beforeAutospacing="0" w:after="0" w:afterAutospacing="0"/>
        <w:ind w:left="567" w:right="741"/>
        <w:rPr>
          <w:rFonts w:asciiTheme="minorHAnsi" w:hAnsiTheme="minorHAnsi" w:cstheme="minorHAnsi"/>
          <w:color w:val="000A12"/>
        </w:rPr>
      </w:pPr>
    </w:p>
    <w:p w14:paraId="2638AF39" w14:textId="1E97E7E9" w:rsidR="00BE6F69" w:rsidRPr="00BE6F69" w:rsidRDefault="00BE6F69" w:rsidP="007A6AD7">
      <w:pPr>
        <w:pStyle w:val="ocular-col"/>
        <w:spacing w:before="0" w:beforeAutospacing="0" w:after="0" w:afterAutospacing="0"/>
        <w:ind w:left="567" w:right="741"/>
        <w:rPr>
          <w:rFonts w:asciiTheme="minorHAnsi" w:hAnsiTheme="minorHAnsi" w:cstheme="minorHAnsi"/>
          <w:b/>
          <w:bCs/>
          <w:color w:val="000A12"/>
        </w:rPr>
      </w:pPr>
      <w:r w:rsidRPr="00BE6F69">
        <w:rPr>
          <w:rFonts w:asciiTheme="minorHAnsi" w:hAnsiTheme="minorHAnsi" w:cstheme="minorHAnsi"/>
          <w:b/>
          <w:bCs/>
          <w:color w:val="000A12"/>
        </w:rPr>
        <w:t>Measur</w:t>
      </w:r>
      <w:r w:rsidR="004B30E8">
        <w:rPr>
          <w:rFonts w:asciiTheme="minorHAnsi" w:hAnsiTheme="minorHAnsi" w:cstheme="minorHAnsi"/>
          <w:b/>
          <w:bCs/>
          <w:color w:val="000A12"/>
        </w:rPr>
        <w:t xml:space="preserve">ing our </w:t>
      </w:r>
      <w:r w:rsidRPr="00BE6F69">
        <w:rPr>
          <w:rFonts w:asciiTheme="minorHAnsi" w:hAnsiTheme="minorHAnsi" w:cstheme="minorHAnsi"/>
          <w:b/>
          <w:bCs/>
          <w:color w:val="000A12"/>
        </w:rPr>
        <w:t>success</w:t>
      </w:r>
    </w:p>
    <w:p w14:paraId="6493E85A" w14:textId="561041E1" w:rsidR="00BE6F69" w:rsidRDefault="004B30E8" w:rsidP="007A6AD7">
      <w:pPr>
        <w:pStyle w:val="ocular-col"/>
        <w:spacing w:before="0" w:beforeAutospacing="0" w:after="0" w:afterAutospacing="0"/>
        <w:ind w:left="567" w:right="741"/>
        <w:rPr>
          <w:rFonts w:asciiTheme="minorHAnsi" w:hAnsiTheme="minorHAnsi" w:cstheme="minorHAnsi"/>
          <w:color w:val="000A12"/>
        </w:rPr>
      </w:pPr>
      <w:r>
        <w:rPr>
          <w:rFonts w:asciiTheme="minorHAnsi" w:hAnsiTheme="minorHAnsi" w:cstheme="minorHAnsi"/>
          <w:color w:val="000A12"/>
        </w:rPr>
        <w:t>To ensure our work is effective and helpful to students, t</w:t>
      </w:r>
      <w:r w:rsidR="00BE6F69" w:rsidRPr="00BE6F69">
        <w:rPr>
          <w:rFonts w:asciiTheme="minorHAnsi" w:hAnsiTheme="minorHAnsi" w:cstheme="minorHAnsi"/>
          <w:color w:val="000A12"/>
        </w:rPr>
        <w:t>he school measures and assesses the impact of the careers programme through participant feedback, S</w:t>
      </w:r>
      <w:r>
        <w:rPr>
          <w:rFonts w:asciiTheme="minorHAnsi" w:hAnsiTheme="minorHAnsi" w:cstheme="minorHAnsi"/>
          <w:color w:val="000A12"/>
        </w:rPr>
        <w:t>outhampton City Council</w:t>
      </w:r>
      <w:r w:rsidR="00BE6F69" w:rsidRPr="00BE6F69">
        <w:rPr>
          <w:rFonts w:asciiTheme="minorHAnsi" w:hAnsiTheme="minorHAnsi" w:cstheme="minorHAnsi"/>
          <w:color w:val="000A12"/>
        </w:rPr>
        <w:t xml:space="preserve"> annual NEET</w:t>
      </w:r>
      <w:r>
        <w:rPr>
          <w:rFonts w:asciiTheme="minorHAnsi" w:hAnsiTheme="minorHAnsi" w:cstheme="minorHAnsi"/>
          <w:color w:val="000A12"/>
        </w:rPr>
        <w:t xml:space="preserve"> (Not in Education, Employment or Training)</w:t>
      </w:r>
      <w:r w:rsidR="00BE6F69" w:rsidRPr="00BE6F69">
        <w:rPr>
          <w:rFonts w:asciiTheme="minorHAnsi" w:hAnsiTheme="minorHAnsi" w:cstheme="minorHAnsi"/>
          <w:color w:val="000A12"/>
        </w:rPr>
        <w:t xml:space="preserve"> figures, DFE NEET figures, Compass Assessment Tool and EBP South evaluation.</w:t>
      </w:r>
    </w:p>
    <w:p w14:paraId="48BC468E" w14:textId="77777777" w:rsidR="00C149E8" w:rsidRDefault="00C149E8" w:rsidP="007A6AD7">
      <w:pPr>
        <w:pStyle w:val="ocular-col"/>
        <w:spacing w:before="0" w:beforeAutospacing="0" w:after="0" w:afterAutospacing="0"/>
        <w:ind w:left="567" w:right="741"/>
        <w:rPr>
          <w:rFonts w:asciiTheme="minorHAnsi" w:hAnsiTheme="minorHAnsi" w:cstheme="minorHAnsi"/>
          <w:color w:val="000A12"/>
        </w:rPr>
      </w:pPr>
    </w:p>
    <w:p w14:paraId="1945C161" w14:textId="3E0D147C" w:rsidR="00BE6F69" w:rsidRDefault="00BE6F69" w:rsidP="007A6AD7">
      <w:pPr>
        <w:pStyle w:val="ocular-col"/>
        <w:spacing w:before="0" w:beforeAutospacing="0" w:after="0" w:afterAutospacing="0"/>
        <w:ind w:left="567" w:right="741"/>
        <w:rPr>
          <w:rFonts w:asciiTheme="minorHAnsi" w:hAnsiTheme="minorHAnsi" w:cstheme="minorHAnsi"/>
          <w:color w:val="000A12"/>
        </w:rPr>
      </w:pPr>
      <w:r w:rsidRPr="00BE6F69">
        <w:rPr>
          <w:rFonts w:asciiTheme="minorHAnsi" w:hAnsiTheme="minorHAnsi" w:cstheme="minorHAnsi"/>
          <w:color w:val="000A12"/>
        </w:rPr>
        <w:t xml:space="preserve">All information contained in </w:t>
      </w:r>
      <w:r>
        <w:rPr>
          <w:rFonts w:asciiTheme="minorHAnsi" w:hAnsiTheme="minorHAnsi" w:cstheme="minorHAnsi"/>
          <w:color w:val="000A12"/>
        </w:rPr>
        <w:t>t</w:t>
      </w:r>
      <w:r w:rsidRPr="00BE6F69">
        <w:rPr>
          <w:rFonts w:asciiTheme="minorHAnsi" w:hAnsiTheme="minorHAnsi" w:cstheme="minorHAnsi"/>
          <w:color w:val="000A12"/>
        </w:rPr>
        <w:t>h</w:t>
      </w:r>
      <w:r>
        <w:rPr>
          <w:rFonts w:asciiTheme="minorHAnsi" w:hAnsiTheme="minorHAnsi" w:cstheme="minorHAnsi"/>
          <w:color w:val="000A12"/>
        </w:rPr>
        <w:t>is</w:t>
      </w:r>
      <w:r w:rsidRPr="00BE6F69">
        <w:rPr>
          <w:rFonts w:asciiTheme="minorHAnsi" w:hAnsiTheme="minorHAnsi" w:cstheme="minorHAnsi"/>
          <w:color w:val="000A12"/>
        </w:rPr>
        <w:t xml:space="preserve"> Careers Education, Information, Advice &amp; Guidance </w:t>
      </w:r>
      <w:r>
        <w:rPr>
          <w:rFonts w:asciiTheme="minorHAnsi" w:hAnsiTheme="minorHAnsi" w:cstheme="minorHAnsi"/>
          <w:color w:val="000A12"/>
        </w:rPr>
        <w:t>Programme</w:t>
      </w:r>
      <w:r w:rsidRPr="00BE6F69">
        <w:rPr>
          <w:rFonts w:asciiTheme="minorHAnsi" w:hAnsiTheme="minorHAnsi" w:cstheme="minorHAnsi"/>
          <w:color w:val="000A12"/>
        </w:rPr>
        <w:t xml:space="preserve"> section is reviewed annually at the start of the autumn term.</w:t>
      </w:r>
    </w:p>
    <w:sectPr w:rsidR="00BE6F69" w:rsidSect="008645C0">
      <w:pgSz w:w="16838" w:h="11906" w:orient="landscape"/>
      <w:pgMar w:top="684" w:right="487" w:bottom="530" w:left="7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800765"/>
    <w:multiLevelType w:val="multilevel"/>
    <w:tmpl w:val="9834818C"/>
    <w:lvl w:ilvl="0">
      <w:start w:val="1"/>
      <w:numFmt w:val="decimal"/>
      <w:lvlText w:val="%1."/>
      <w:lvlJc w:val="left"/>
      <w:pPr>
        <w:tabs>
          <w:tab w:val="num" w:pos="720"/>
        </w:tabs>
        <w:ind w:left="720" w:hanging="360"/>
      </w:pPr>
    </w:lvl>
    <w:lvl w:ilvl="1">
      <w:start w:val="1"/>
      <w:numFmt w:val="bullet"/>
      <w:lvlText w:val=""/>
      <w:lvlJc w:val="left"/>
      <w:pPr>
        <w:tabs>
          <w:tab w:val="num" w:pos="1353"/>
        </w:tabs>
        <w:ind w:left="1353"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76537F"/>
    <w:multiLevelType w:val="hybridMultilevel"/>
    <w:tmpl w:val="E6C6E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412AFF"/>
    <w:multiLevelType w:val="hybridMultilevel"/>
    <w:tmpl w:val="ED4E4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B82371"/>
    <w:multiLevelType w:val="hybridMultilevel"/>
    <w:tmpl w:val="DCC62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5A2CE4"/>
    <w:multiLevelType w:val="multilevel"/>
    <w:tmpl w:val="AD1E0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747"/>
    <w:rsid w:val="00167DF4"/>
    <w:rsid w:val="001F3838"/>
    <w:rsid w:val="004B30E8"/>
    <w:rsid w:val="004E798A"/>
    <w:rsid w:val="005931BE"/>
    <w:rsid w:val="006200AD"/>
    <w:rsid w:val="00670870"/>
    <w:rsid w:val="006F5954"/>
    <w:rsid w:val="00720E2D"/>
    <w:rsid w:val="00792C2B"/>
    <w:rsid w:val="007A6AD7"/>
    <w:rsid w:val="008645C0"/>
    <w:rsid w:val="009C1747"/>
    <w:rsid w:val="00AD03F0"/>
    <w:rsid w:val="00BE6F69"/>
    <w:rsid w:val="00C149E8"/>
    <w:rsid w:val="00C52E8B"/>
    <w:rsid w:val="00C837A1"/>
    <w:rsid w:val="00E56E37"/>
    <w:rsid w:val="00E64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D46C0"/>
  <w15:chartTrackingRefBased/>
  <w15:docId w15:val="{834A4084-5DCA-1D44-87C0-46874FB3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7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1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1747"/>
    <w:pPr>
      <w:ind w:left="720"/>
      <w:contextualSpacing/>
    </w:pPr>
  </w:style>
  <w:style w:type="paragraph" w:customStyle="1" w:styleId="ocular-col">
    <w:name w:val="ocular-col"/>
    <w:basedOn w:val="Normal"/>
    <w:rsid w:val="00BE6F69"/>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BE6F69"/>
  </w:style>
  <w:style w:type="paragraph" w:styleId="NormalWeb">
    <w:name w:val="Normal (Web)"/>
    <w:basedOn w:val="Normal"/>
    <w:uiPriority w:val="99"/>
    <w:semiHidden/>
    <w:unhideWhenUsed/>
    <w:rsid w:val="00E64F1C"/>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73536">
      <w:bodyDiv w:val="1"/>
      <w:marLeft w:val="0"/>
      <w:marRight w:val="0"/>
      <w:marTop w:val="0"/>
      <w:marBottom w:val="0"/>
      <w:divBdr>
        <w:top w:val="none" w:sz="0" w:space="0" w:color="auto"/>
        <w:left w:val="none" w:sz="0" w:space="0" w:color="auto"/>
        <w:bottom w:val="none" w:sz="0" w:space="0" w:color="auto"/>
        <w:right w:val="none" w:sz="0" w:space="0" w:color="auto"/>
      </w:divBdr>
    </w:div>
    <w:div w:id="223873661">
      <w:bodyDiv w:val="1"/>
      <w:marLeft w:val="0"/>
      <w:marRight w:val="0"/>
      <w:marTop w:val="0"/>
      <w:marBottom w:val="0"/>
      <w:divBdr>
        <w:top w:val="none" w:sz="0" w:space="0" w:color="auto"/>
        <w:left w:val="none" w:sz="0" w:space="0" w:color="auto"/>
        <w:bottom w:val="none" w:sz="0" w:space="0" w:color="auto"/>
        <w:right w:val="none" w:sz="0" w:space="0" w:color="auto"/>
      </w:divBdr>
      <w:divsChild>
        <w:div w:id="1245872087">
          <w:marLeft w:val="0"/>
          <w:marRight w:val="0"/>
          <w:marTop w:val="0"/>
          <w:marBottom w:val="0"/>
          <w:divBdr>
            <w:top w:val="none" w:sz="0" w:space="0" w:color="auto"/>
            <w:left w:val="none" w:sz="0" w:space="0" w:color="auto"/>
            <w:bottom w:val="none" w:sz="0" w:space="0" w:color="auto"/>
            <w:right w:val="none" w:sz="0" w:space="0" w:color="auto"/>
          </w:divBdr>
          <w:divsChild>
            <w:div w:id="658193834">
              <w:marLeft w:val="0"/>
              <w:marRight w:val="0"/>
              <w:marTop w:val="0"/>
              <w:marBottom w:val="0"/>
              <w:divBdr>
                <w:top w:val="none" w:sz="0" w:space="0" w:color="auto"/>
                <w:left w:val="none" w:sz="0" w:space="0" w:color="auto"/>
                <w:bottom w:val="none" w:sz="0" w:space="0" w:color="auto"/>
                <w:right w:val="none" w:sz="0" w:space="0" w:color="auto"/>
              </w:divBdr>
              <w:divsChild>
                <w:div w:id="108221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372615">
      <w:bodyDiv w:val="1"/>
      <w:marLeft w:val="0"/>
      <w:marRight w:val="0"/>
      <w:marTop w:val="0"/>
      <w:marBottom w:val="0"/>
      <w:divBdr>
        <w:top w:val="none" w:sz="0" w:space="0" w:color="auto"/>
        <w:left w:val="none" w:sz="0" w:space="0" w:color="auto"/>
        <w:bottom w:val="none" w:sz="0" w:space="0" w:color="auto"/>
        <w:right w:val="none" w:sz="0" w:space="0" w:color="auto"/>
      </w:divBdr>
      <w:divsChild>
        <w:div w:id="2068414357">
          <w:marLeft w:val="0"/>
          <w:marRight w:val="0"/>
          <w:marTop w:val="0"/>
          <w:marBottom w:val="0"/>
          <w:divBdr>
            <w:top w:val="none" w:sz="0" w:space="0" w:color="auto"/>
            <w:left w:val="none" w:sz="0" w:space="0" w:color="auto"/>
            <w:bottom w:val="none" w:sz="0" w:space="0" w:color="auto"/>
            <w:right w:val="none" w:sz="0" w:space="0" w:color="auto"/>
          </w:divBdr>
          <w:divsChild>
            <w:div w:id="1841121045">
              <w:marLeft w:val="0"/>
              <w:marRight w:val="0"/>
              <w:marTop w:val="0"/>
              <w:marBottom w:val="0"/>
              <w:divBdr>
                <w:top w:val="none" w:sz="0" w:space="0" w:color="auto"/>
                <w:left w:val="none" w:sz="0" w:space="0" w:color="auto"/>
                <w:bottom w:val="none" w:sz="0" w:space="0" w:color="auto"/>
                <w:right w:val="none" w:sz="0" w:space="0" w:color="auto"/>
              </w:divBdr>
              <w:divsChild>
                <w:div w:id="1533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95420">
      <w:bodyDiv w:val="1"/>
      <w:marLeft w:val="0"/>
      <w:marRight w:val="0"/>
      <w:marTop w:val="0"/>
      <w:marBottom w:val="0"/>
      <w:divBdr>
        <w:top w:val="none" w:sz="0" w:space="0" w:color="auto"/>
        <w:left w:val="none" w:sz="0" w:space="0" w:color="auto"/>
        <w:bottom w:val="none" w:sz="0" w:space="0" w:color="auto"/>
        <w:right w:val="none" w:sz="0" w:space="0" w:color="auto"/>
      </w:divBdr>
    </w:div>
    <w:div w:id="1283222815">
      <w:bodyDiv w:val="1"/>
      <w:marLeft w:val="0"/>
      <w:marRight w:val="0"/>
      <w:marTop w:val="0"/>
      <w:marBottom w:val="0"/>
      <w:divBdr>
        <w:top w:val="none" w:sz="0" w:space="0" w:color="auto"/>
        <w:left w:val="none" w:sz="0" w:space="0" w:color="auto"/>
        <w:bottom w:val="none" w:sz="0" w:space="0" w:color="auto"/>
        <w:right w:val="none" w:sz="0" w:space="0" w:color="auto"/>
      </w:divBdr>
      <w:divsChild>
        <w:div w:id="1181626740">
          <w:marLeft w:val="0"/>
          <w:marRight w:val="0"/>
          <w:marTop w:val="0"/>
          <w:marBottom w:val="0"/>
          <w:divBdr>
            <w:top w:val="none" w:sz="0" w:space="0" w:color="auto"/>
            <w:left w:val="none" w:sz="0" w:space="0" w:color="auto"/>
            <w:bottom w:val="none" w:sz="0" w:space="0" w:color="auto"/>
            <w:right w:val="none" w:sz="0" w:space="0" w:color="auto"/>
          </w:divBdr>
          <w:divsChild>
            <w:div w:id="661204620">
              <w:marLeft w:val="0"/>
              <w:marRight w:val="0"/>
              <w:marTop w:val="0"/>
              <w:marBottom w:val="0"/>
              <w:divBdr>
                <w:top w:val="none" w:sz="0" w:space="0" w:color="auto"/>
                <w:left w:val="none" w:sz="0" w:space="0" w:color="auto"/>
                <w:bottom w:val="none" w:sz="0" w:space="0" w:color="auto"/>
                <w:right w:val="none" w:sz="0" w:space="0" w:color="auto"/>
              </w:divBdr>
              <w:divsChild>
                <w:div w:id="1038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Brady</dc:creator>
  <cp:keywords/>
  <dc:description/>
  <cp:lastModifiedBy>Sharron Ward</cp:lastModifiedBy>
  <cp:revision>5</cp:revision>
  <cp:lastPrinted>2021-11-25T09:53:00Z</cp:lastPrinted>
  <dcterms:created xsi:type="dcterms:W3CDTF">2021-11-09T13:47:00Z</dcterms:created>
  <dcterms:modified xsi:type="dcterms:W3CDTF">2021-12-07T14:45:00Z</dcterms:modified>
</cp:coreProperties>
</file>